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D6" w:rsidRDefault="00D75C11">
      <w:pPr>
        <w:pStyle w:val="Paragrafoelenco"/>
        <w:spacing w:line="360" w:lineRule="auto"/>
        <w:ind w:left="0"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COMUNE DI FORINO</w:t>
      </w:r>
    </w:p>
    <w:p w:rsidR="005011D6" w:rsidRDefault="00D75C11">
      <w:pPr>
        <w:pStyle w:val="Paragrafoelenco"/>
        <w:spacing w:line="360" w:lineRule="auto"/>
        <w:ind w:left="0" w:firstLine="0"/>
        <w:jc w:val="center"/>
        <w:rPr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(PROVINCIA DI AVELLINO)</w:t>
      </w:r>
    </w:p>
    <w:p w:rsidR="005011D6" w:rsidRDefault="00D75C11">
      <w:pPr>
        <w:pStyle w:val="Paragrafoelenco"/>
        <w:spacing w:line="360" w:lineRule="auto"/>
        <w:ind w:left="0" w:firstLine="0"/>
        <w:jc w:val="center"/>
        <w:rPr>
          <w:b/>
          <w:bCs/>
        </w:rPr>
      </w:pPr>
      <w:r>
        <w:rPr>
          <w:rFonts w:ascii="Garamond" w:hAnsi="Garamond"/>
          <w:b/>
          <w:bCs/>
        </w:rPr>
        <w:t>NUCLEO DI VALUTAZIONE</w:t>
      </w:r>
    </w:p>
    <w:p w:rsidR="005011D6" w:rsidRDefault="005011D6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5011D6" w:rsidRDefault="005011D6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5011D6" w:rsidRDefault="00D75C11">
      <w:pPr>
        <w:pStyle w:val="Paragrafoelenco"/>
        <w:spacing w:line="360" w:lineRule="auto"/>
        <w:ind w:left="0" w:firstLine="0"/>
      </w:pPr>
      <w:r>
        <w:rPr>
          <w:rFonts w:ascii="Garamond" w:hAnsi="Garamond"/>
          <w:b/>
          <w:i/>
        </w:rPr>
        <w:t>Data di svolgimento della rilevazione</w:t>
      </w:r>
    </w:p>
    <w:p w:rsidR="005011D6" w:rsidRDefault="00D75C11">
      <w:pPr>
        <w:pStyle w:val="Paragrafoelenco"/>
        <w:spacing w:line="276" w:lineRule="auto"/>
        <w:ind w:left="0" w:firstLine="0"/>
      </w:pPr>
      <w:r>
        <w:rPr>
          <w:rFonts w:ascii="Garamond" w:hAnsi="Garamond"/>
        </w:rPr>
        <w:t>31/03/2019.</w:t>
      </w:r>
    </w:p>
    <w:p w:rsidR="005011D6" w:rsidRDefault="005011D6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5011D6" w:rsidRDefault="00D75C11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</w:t>
      </w:r>
    </w:p>
    <w:p w:rsidR="005011D6" w:rsidRDefault="005011D6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5011D6" w:rsidRDefault="00D75C11">
      <w:pPr>
        <w:tabs>
          <w:tab w:val="left" w:pos="0"/>
        </w:tabs>
        <w:spacing w:after="0" w:line="360" w:lineRule="auto"/>
      </w:pPr>
      <w:r>
        <w:rPr>
          <w:rFonts w:ascii="Garamond" w:hAnsi="Garamond"/>
        </w:rPr>
        <w:t xml:space="preserve">Non applicabile all’Ente. Nessun ufficio </w:t>
      </w:r>
      <w:r>
        <w:rPr>
          <w:rFonts w:ascii="Garamond" w:hAnsi="Garamond"/>
        </w:rPr>
        <w:t>periferico.</w:t>
      </w:r>
    </w:p>
    <w:p w:rsidR="005011D6" w:rsidRDefault="005011D6">
      <w:pPr>
        <w:tabs>
          <w:tab w:val="left" w:pos="0"/>
        </w:tabs>
        <w:spacing w:after="0" w:line="360" w:lineRule="auto"/>
        <w:rPr>
          <w:rFonts w:ascii="Garamond" w:hAnsi="Garamond"/>
        </w:rPr>
      </w:pPr>
    </w:p>
    <w:p w:rsidR="005011D6" w:rsidRDefault="005011D6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5011D6" w:rsidRDefault="00D75C11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:rsidR="005011D6" w:rsidRDefault="00D75C11">
      <w:pPr>
        <w:pStyle w:val="Paragrafoelenco"/>
        <w:spacing w:after="0" w:line="360" w:lineRule="auto"/>
        <w:ind w:left="0" w:firstLine="0"/>
      </w:pPr>
      <w:r>
        <w:rPr>
          <w:rFonts w:ascii="Garamond" w:hAnsi="Garamond"/>
        </w:rPr>
        <w:t>La verifica è stata effettuata mediante accesso diretto sul sito istituzionale dell’Ente, nella sezione amministrazione trasparente e si è conclusa con l’elaborazione e compilazione della alleg</w:t>
      </w:r>
      <w:r>
        <w:rPr>
          <w:rFonts w:ascii="Garamond" w:hAnsi="Garamond"/>
        </w:rPr>
        <w:t>ata griglia di rilevazione.</w:t>
      </w:r>
    </w:p>
    <w:p w:rsidR="005011D6" w:rsidRDefault="005011D6">
      <w:pPr>
        <w:spacing w:line="360" w:lineRule="auto"/>
        <w:rPr>
          <w:rFonts w:ascii="Garamond" w:hAnsi="Garamond"/>
          <w:u w:val="single"/>
        </w:rPr>
      </w:pPr>
    </w:p>
    <w:p w:rsidR="005011D6" w:rsidRDefault="00D75C11">
      <w:pPr>
        <w:spacing w:line="360" w:lineRule="auto"/>
      </w:pPr>
      <w:r>
        <w:rPr>
          <w:rFonts w:ascii="Garamond" w:hAnsi="Garamond"/>
          <w:b/>
          <w:i/>
        </w:rPr>
        <w:t>Aspetti critici riscontrati nel corso della rilevazione</w:t>
      </w:r>
    </w:p>
    <w:p w:rsidR="005011D6" w:rsidRDefault="00D75C11">
      <w:pPr>
        <w:spacing w:line="360" w:lineRule="auto"/>
      </w:pPr>
      <w:r>
        <w:rPr>
          <w:rFonts w:ascii="Garamond" w:hAnsi="Garamond"/>
        </w:rPr>
        <w:t>Si invita a procedere alla compilazione delle informazioni mancanti alla data attuale.</w:t>
      </w:r>
    </w:p>
    <w:p w:rsidR="005011D6" w:rsidRDefault="005011D6">
      <w:pPr>
        <w:spacing w:line="360" w:lineRule="auto"/>
        <w:rPr>
          <w:rFonts w:ascii="Garamond" w:hAnsi="Garamond"/>
          <w:b/>
          <w:i/>
        </w:rPr>
      </w:pPr>
    </w:p>
    <w:p w:rsidR="005011D6" w:rsidRDefault="005011D6">
      <w:pPr>
        <w:spacing w:line="360" w:lineRule="auto"/>
        <w:rPr>
          <w:rFonts w:ascii="Garamond" w:hAnsi="Garamond"/>
          <w:b/>
          <w:i/>
        </w:rPr>
      </w:pPr>
    </w:p>
    <w:p w:rsidR="005011D6" w:rsidRDefault="00D75C11">
      <w:pPr>
        <w:spacing w:line="360" w:lineRule="auto"/>
        <w:jc w:val="right"/>
        <w:rPr>
          <w:b/>
          <w:bCs/>
        </w:rPr>
      </w:pPr>
      <w:r>
        <w:rPr>
          <w:b/>
          <w:bCs/>
        </w:rPr>
        <w:t>Il Nucleo di Valutazione</w:t>
      </w:r>
    </w:p>
    <w:sectPr w:rsidR="005011D6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11" w:rsidRDefault="00D75C11">
      <w:pPr>
        <w:spacing w:after="0" w:line="240" w:lineRule="auto"/>
      </w:pPr>
      <w:r>
        <w:separator/>
      </w:r>
    </w:p>
  </w:endnote>
  <w:endnote w:type="continuationSeparator" w:id="0">
    <w:p w:rsidR="00D75C11" w:rsidRDefault="00D7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11" w:rsidRDefault="00D75C11">
      <w:pPr>
        <w:spacing w:after="0" w:line="240" w:lineRule="auto"/>
      </w:pPr>
      <w:r>
        <w:separator/>
      </w:r>
    </w:p>
  </w:footnote>
  <w:footnote w:type="continuationSeparator" w:id="0">
    <w:p w:rsidR="00D75C11" w:rsidRDefault="00D7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D6" w:rsidRDefault="005011D6">
    <w:pPr>
      <w:pStyle w:val="Intestazione"/>
      <w:jc w:val="right"/>
      <w:rPr>
        <w:rFonts w:ascii="Garamond" w:hAnsi="Garamond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D6"/>
    <w:rsid w:val="005011D6"/>
    <w:rsid w:val="00D75C11"/>
    <w:rsid w:val="00F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color w:val="00000A"/>
      <w:kern w:val="0"/>
      <w:sz w:val="24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qFormat/>
    <w:rPr>
      <w:sz w:val="14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character" w:customStyle="1" w:styleId="ListLabel1">
    <w:name w:val="ListLabel 1"/>
    <w:qFormat/>
    <w:rPr>
      <w:rFonts w:ascii="Garamond" w:hAnsi="Garamond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Cambri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20"/>
      <w:szCs w:val="20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qFormat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uppressAutoHyphens/>
      <w:spacing w:line="100" w:lineRule="atLeast"/>
    </w:pPr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color w:val="00000A"/>
      <w:kern w:val="0"/>
      <w:sz w:val="24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qFormat/>
    <w:rPr>
      <w:sz w:val="14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character" w:customStyle="1" w:styleId="ListLabel1">
    <w:name w:val="ListLabel 1"/>
    <w:qFormat/>
    <w:rPr>
      <w:rFonts w:ascii="Garamond" w:hAnsi="Garamond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Cambri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20"/>
      <w:szCs w:val="20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qFormat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uppressAutoHyphens/>
      <w:spacing w:line="100" w:lineRule="atLeast"/>
    </w:pPr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2019-04-17T11:30:00Z</dcterms:created>
  <dcterms:modified xsi:type="dcterms:W3CDTF">2019-04-17T11:30:00Z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